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5865A7" w14:paraId="068524E8" w14:textId="77777777" w:rsidTr="005865A7">
        <w:trPr>
          <w:trHeight w:val="1125"/>
        </w:trPr>
        <w:tc>
          <w:tcPr>
            <w:tcW w:w="7225" w:type="dxa"/>
          </w:tcPr>
          <w:p w14:paraId="6E3F1E95" w14:textId="02D95A6D" w:rsidR="005865A7" w:rsidRDefault="005865A7" w:rsidP="005865A7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A92C1D">
              <w:rPr>
                <w:rFonts w:cstheme="minorHAnsi"/>
                <w:b/>
                <w:bCs/>
                <w:noProof/>
                <w:color w:val="002060"/>
                <w:sz w:val="28"/>
                <w:szCs w:val="28"/>
                <w:lang w:eastAsia="en-IN"/>
              </w:rPr>
              <w:drawing>
                <wp:anchor distT="0" distB="0" distL="114300" distR="114300" simplePos="0" relativeHeight="251659264" behindDoc="1" locked="0" layoutInCell="1" allowOverlap="1" wp14:anchorId="6FF31CAD" wp14:editId="7C1BC27A">
                  <wp:simplePos x="0" y="0"/>
                  <wp:positionH relativeFrom="margin">
                    <wp:posOffset>-63804</wp:posOffset>
                  </wp:positionH>
                  <wp:positionV relativeFrom="paragraph">
                    <wp:posOffset>304</wp:posOffset>
                  </wp:positionV>
                  <wp:extent cx="806450" cy="708052"/>
                  <wp:effectExtent l="0" t="0" r="0" b="0"/>
                  <wp:wrapSquare wrapText="bothSides"/>
                  <wp:docPr id="2020228791" name="Picture 2020228791" descr="A logo with a peacock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with a peacock in the middle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0" t="7833" r="8188" b="11294"/>
                          <a:stretch/>
                        </pic:blipFill>
                        <pic:spPr bwMode="auto">
                          <a:xfrm>
                            <a:off x="0" y="0"/>
                            <a:ext cx="806450" cy="708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C1D">
              <w:rPr>
                <w:rFonts w:ascii="Cambria" w:hAnsi="Cambria" w:cstheme="minorHAnsi"/>
                <w:b/>
                <w:bCs/>
                <w:color w:val="002060"/>
                <w:sz w:val="28"/>
                <w:szCs w:val="28"/>
              </w:rPr>
              <w:t>National Co-operative Exports Ltd. (NCEL)</w:t>
            </w:r>
            <w:r w:rsidRPr="006D0884"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  <w:t xml:space="preserve">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  <w:lang w:bidi="gu-IN"/>
              </w:rPr>
              <w:t>(Registered under MSCS Act, 2002; Reg. No.</w:t>
            </w:r>
            <w:r w:rsidRPr="006D0884"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  <w:t xml:space="preserve">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  <w:lang w:bidi="gu-IN"/>
              </w:rPr>
              <w:t>MSCS/CR/1395/2023)</w:t>
            </w:r>
            <w:r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  <w:t xml:space="preserve">    </w:t>
            </w:r>
            <w:r w:rsidR="00A92C1D"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  <w:t xml:space="preserve">   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World Trade Centre, Tower I, 8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  <w:vertAlign w:val="superscript"/>
              </w:rPr>
              <w:t>th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 Floor, </w:t>
            </w:r>
            <w:proofErr w:type="spellStart"/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Nauroji</w:t>
            </w:r>
            <w:proofErr w:type="spellEnd"/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 Nagar, New</w:t>
            </w:r>
            <w:r w:rsidRPr="00F257CD">
              <w:rPr>
                <w:rFonts w:ascii="Cambria" w:hAnsi="Cambria" w:cstheme="minorHAnsi"/>
                <w:b/>
                <w:bCs/>
                <w:color w:val="002060"/>
                <w:szCs w:val="20"/>
              </w:rPr>
              <w:t xml:space="preserve">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Delhi-110029</w:t>
            </w:r>
            <w:r>
              <w:rPr>
                <w:rFonts w:ascii="Cambria" w:hAnsi="Cambria" w:cstheme="minorHAnsi"/>
                <w:b/>
                <w:bCs/>
                <w:color w:val="002060"/>
                <w:szCs w:val="20"/>
              </w:rPr>
              <w:t xml:space="preserve">  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Phone: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  <w:t xml:space="preserve">011 28524336, E-mail: </w:t>
            </w:r>
            <w:hyperlink r:id="rId8" w:history="1">
              <w:r w:rsidRPr="005865A7">
                <w:rPr>
                  <w:rStyle w:val="Hyperlink"/>
                  <w:rFonts w:ascii="Cambria" w:hAnsi="Cambria" w:cstheme="minorHAnsi"/>
                  <w:b/>
                  <w:bCs/>
                  <w:sz w:val="18"/>
                  <w:szCs w:val="18"/>
                </w:rPr>
                <w:t>md@ncel.coop</w:t>
              </w:r>
            </w:hyperlink>
          </w:p>
        </w:tc>
      </w:tr>
      <w:tr w:rsidR="005865A7" w14:paraId="4C43ADC1" w14:textId="77777777" w:rsidTr="005865A7">
        <w:tc>
          <w:tcPr>
            <w:tcW w:w="7225" w:type="dxa"/>
          </w:tcPr>
          <w:p w14:paraId="3CE5859D" w14:textId="6672BF83" w:rsidR="005865A7" w:rsidRDefault="005865A7" w:rsidP="005865A7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Meeting Notice for 3</w:t>
            </w:r>
            <w:r w:rsidRPr="00972019">
              <w:rPr>
                <w:rFonts w:ascii="Calibri" w:hAnsi="Calibri" w:cs="Calibri"/>
                <w:b/>
                <w:bCs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</w:rPr>
              <w:t xml:space="preserve"> Annual General Meeting of the National Co-operative Exports Ltd. (NCEL) to be held on 28.09.2024, Saturday, through hybrid mode.</w:t>
            </w:r>
          </w:p>
        </w:tc>
      </w:tr>
      <w:tr w:rsidR="005865A7" w14:paraId="64E5628E" w14:textId="77777777" w:rsidTr="005865A7">
        <w:tc>
          <w:tcPr>
            <w:tcW w:w="7225" w:type="dxa"/>
          </w:tcPr>
          <w:p w14:paraId="43950029" w14:textId="77777777" w:rsidR="005865A7" w:rsidRDefault="005865A7" w:rsidP="005865A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1DD2">
              <w:rPr>
                <w:rFonts w:ascii="Calibri" w:hAnsi="Calibri" w:cs="Calibri"/>
                <w:sz w:val="18"/>
                <w:szCs w:val="18"/>
              </w:rPr>
              <w:t>File No.19-NCEL/AGM/ Notice/2024-25</w:t>
            </w:r>
            <w:r w:rsidRPr="00AB1DD2"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              </w:t>
            </w:r>
            <w:r w:rsidR="00AB1DD2" w:rsidRPr="00AB1DD2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AB1D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B1DD2"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  <w:r w:rsidRPr="00AB1DD2">
              <w:rPr>
                <w:rFonts w:ascii="Calibri" w:hAnsi="Calibri" w:cs="Calibri"/>
                <w:sz w:val="18"/>
                <w:szCs w:val="18"/>
              </w:rPr>
              <w:t>Dated: 13.09.2024</w:t>
            </w:r>
          </w:p>
          <w:p w14:paraId="1C0ED078" w14:textId="77777777" w:rsidR="00A92C1D" w:rsidRDefault="00A92C1D" w:rsidP="00AB1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089E41" w14:textId="676EADCF" w:rsidR="00AB1DD2" w:rsidRPr="00AB1DD2" w:rsidRDefault="00AB1DD2" w:rsidP="00AB1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1DD2">
              <w:rPr>
                <w:rFonts w:ascii="Calibri" w:hAnsi="Calibri" w:cs="Calibri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AB1DD2">
              <w:rPr>
                <w:rFonts w:ascii="Calibri" w:hAnsi="Calibri" w:cs="Calibri"/>
                <w:sz w:val="18"/>
                <w:szCs w:val="18"/>
              </w:rPr>
              <w:t>The Member,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B1DD2">
              <w:rPr>
                <w:rFonts w:ascii="Calibri" w:hAnsi="Calibri" w:cs="Calibri"/>
                <w:sz w:val="18"/>
                <w:szCs w:val="18"/>
              </w:rPr>
              <w:t xml:space="preserve">National Co-operative 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AB1DD2">
              <w:rPr>
                <w:rFonts w:ascii="Calibri" w:hAnsi="Calibri" w:cs="Calibri"/>
                <w:sz w:val="18"/>
                <w:szCs w:val="18"/>
              </w:rPr>
              <w:t>xports Limited (NCEL)</w:t>
            </w:r>
          </w:p>
          <w:p w14:paraId="2DD5BF61" w14:textId="77777777" w:rsidR="00A92C1D" w:rsidRDefault="00A92C1D" w:rsidP="00AB1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E641BEF" w14:textId="7F605625" w:rsidR="00AB1DD2" w:rsidRPr="00AB1DD2" w:rsidRDefault="00AB1DD2" w:rsidP="00AB1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1DD2">
              <w:rPr>
                <w:rFonts w:ascii="Calibri" w:hAnsi="Calibri" w:cs="Calibri"/>
                <w:sz w:val="18"/>
                <w:szCs w:val="18"/>
              </w:rPr>
              <w:t>Dear Sir,</w:t>
            </w:r>
          </w:p>
          <w:p w14:paraId="11908D26" w14:textId="77777777" w:rsidR="00AB1DD2" w:rsidRPr="00BB0271" w:rsidRDefault="00AB1DD2" w:rsidP="00AB1DD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DD2">
              <w:rPr>
                <w:rFonts w:ascii="Calibri" w:hAnsi="Calibri" w:cs="Calibri"/>
                <w:sz w:val="18"/>
                <w:szCs w:val="18"/>
              </w:rPr>
              <w:t>The 3</w:t>
            </w:r>
            <w:r w:rsidRPr="00AB1DD2">
              <w:rPr>
                <w:rFonts w:ascii="Calibri" w:hAnsi="Calibri" w:cs="Calibri"/>
                <w:sz w:val="18"/>
                <w:szCs w:val="18"/>
                <w:vertAlign w:val="superscript"/>
              </w:rPr>
              <w:t>rd</w:t>
            </w:r>
            <w:r w:rsidRPr="00AB1DD2">
              <w:rPr>
                <w:rFonts w:ascii="Calibri" w:hAnsi="Calibri" w:cs="Calibri"/>
                <w:sz w:val="18"/>
                <w:szCs w:val="18"/>
              </w:rPr>
              <w:t xml:space="preserve"> Annual General Meeting (AGM) of the National Co-operative Exports Ltd. (NCEL) is scheduled to be held on </w:t>
            </w: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>28</w:t>
            </w:r>
            <w:r w:rsidRPr="00BB0271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September 2024, Saturday, at 2:30 P.M.</w:t>
            </w:r>
            <w:r w:rsidRPr="00AB1DD2">
              <w:rPr>
                <w:rFonts w:ascii="Calibri" w:hAnsi="Calibri" w:cs="Calibri"/>
                <w:sz w:val="18"/>
                <w:szCs w:val="18"/>
              </w:rPr>
              <w:t xml:space="preserve"> The meeting shall be held in hybrid mode i.e. both online as well as in person.</w:t>
            </w:r>
            <w:r w:rsidRPr="00AB1DD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AB1DD2">
              <w:rPr>
                <w:rFonts w:ascii="Calibri" w:hAnsi="Calibri" w:cs="Calibri"/>
                <w:sz w:val="18"/>
                <w:szCs w:val="18"/>
              </w:rPr>
              <w:t xml:space="preserve">Those desirous of attending the AGM in person may kindly confirm their participation by return email on or before 17.09.2024 enabling us to make necessary arrangements. </w:t>
            </w: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>Kindly be informed that no TA or DA will be paid by NCEL for attending the AGM.</w:t>
            </w:r>
          </w:p>
          <w:p w14:paraId="4F99191F" w14:textId="7094ADCC" w:rsidR="00AB1DD2" w:rsidRDefault="00AB1DD2" w:rsidP="005865A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>The link for on-line participation in the AGM is being shared</w:t>
            </w:r>
            <w:r w:rsidR="00BB0271"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to members</w:t>
            </w: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through email </w:t>
            </w:r>
            <w:r w:rsidRPr="00AB1DD2">
              <w:rPr>
                <w:rFonts w:ascii="Calibri" w:hAnsi="Calibri" w:cs="Calibri"/>
                <w:sz w:val="18"/>
                <w:szCs w:val="18"/>
              </w:rPr>
              <w:t>along with notes on the agenda</w:t>
            </w:r>
            <w:r>
              <w:rPr>
                <w:rFonts w:ascii="Calibri" w:hAnsi="Calibri" w:cs="Calibri"/>
                <w:sz w:val="18"/>
                <w:szCs w:val="18"/>
              </w:rPr>
              <w:t>. The Agenda of the AGM is as under: -</w:t>
            </w:r>
          </w:p>
          <w:p w14:paraId="60F586EF" w14:textId="77777777" w:rsidR="00AB1DD2" w:rsidRDefault="00AB1DD2" w:rsidP="005865A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6125"/>
            </w:tblGrid>
            <w:tr w:rsidR="00BC5DC7" w14:paraId="1473D7A1" w14:textId="77777777" w:rsidTr="00BC5DC7">
              <w:tc>
                <w:tcPr>
                  <w:tcW w:w="874" w:type="dxa"/>
                </w:tcPr>
                <w:p w14:paraId="51166708" w14:textId="554A5ED6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36E2">
                    <w:rPr>
                      <w:b/>
                      <w:bCs/>
                      <w:sz w:val="16"/>
                      <w:szCs w:val="16"/>
                    </w:rPr>
                    <w:t>Sl. No.</w:t>
                  </w:r>
                </w:p>
              </w:tc>
              <w:tc>
                <w:tcPr>
                  <w:tcW w:w="6125" w:type="dxa"/>
                </w:tcPr>
                <w:p w14:paraId="637B8395" w14:textId="294DCE34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36E2">
                    <w:rPr>
                      <w:b/>
                      <w:bCs/>
                      <w:sz w:val="16"/>
                      <w:szCs w:val="16"/>
                    </w:rPr>
                    <w:t>Agenda Items</w:t>
                  </w:r>
                </w:p>
              </w:tc>
            </w:tr>
            <w:tr w:rsidR="00BC5DC7" w14:paraId="5BF3D6EE" w14:textId="77777777" w:rsidTr="00BC5DC7">
              <w:tc>
                <w:tcPr>
                  <w:tcW w:w="874" w:type="dxa"/>
                </w:tcPr>
                <w:p w14:paraId="3B23EF90" w14:textId="28EC6AEC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25" w:type="dxa"/>
                </w:tcPr>
                <w:p w14:paraId="6CAA4A5E" w14:textId="16E89E79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36E2">
                    <w:rPr>
                      <w:sz w:val="16"/>
                      <w:szCs w:val="16"/>
                    </w:rPr>
                    <w:t>Confirmation of the minutes of the 2</w:t>
                  </w:r>
                  <w:r w:rsidRPr="004A36E2">
                    <w:rPr>
                      <w:sz w:val="16"/>
                      <w:szCs w:val="16"/>
                      <w:vertAlign w:val="superscript"/>
                    </w:rPr>
                    <w:t>nd</w:t>
                  </w:r>
                  <w:r w:rsidRPr="004A36E2">
                    <w:rPr>
                      <w:sz w:val="16"/>
                      <w:szCs w:val="16"/>
                    </w:rPr>
                    <w:t xml:space="preserve"> Annual General Meeting of NCEL held on 28.09.2023.</w:t>
                  </w:r>
                </w:p>
              </w:tc>
            </w:tr>
            <w:tr w:rsidR="00BC5DC7" w14:paraId="5C09BE94" w14:textId="77777777" w:rsidTr="00BC5DC7">
              <w:tc>
                <w:tcPr>
                  <w:tcW w:w="874" w:type="dxa"/>
                </w:tcPr>
                <w:p w14:paraId="23AF93FE" w14:textId="7CE111DF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25" w:type="dxa"/>
                </w:tcPr>
                <w:p w14:paraId="21CD4CD8" w14:textId="4FF5530E" w:rsidR="00BC5DC7" w:rsidRPr="004A36E2" w:rsidRDefault="00BC5DC7" w:rsidP="00BC5DC7">
                  <w:pPr>
                    <w:jc w:val="both"/>
                    <w:rPr>
                      <w:sz w:val="16"/>
                      <w:szCs w:val="16"/>
                    </w:rPr>
                  </w:pPr>
                  <w:r w:rsidRPr="004A36E2">
                    <w:rPr>
                      <w:sz w:val="16"/>
                      <w:szCs w:val="16"/>
                    </w:rPr>
                    <w:t>Consideration of the auditor’s report and audited statements of accounts for the FY 2023-24.</w:t>
                  </w:r>
                </w:p>
              </w:tc>
            </w:tr>
            <w:tr w:rsidR="00BC5DC7" w14:paraId="42B8E568" w14:textId="77777777" w:rsidTr="00BC5DC7">
              <w:tc>
                <w:tcPr>
                  <w:tcW w:w="874" w:type="dxa"/>
                </w:tcPr>
                <w:p w14:paraId="3CA1EC8E" w14:textId="4A459F45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25" w:type="dxa"/>
                </w:tcPr>
                <w:p w14:paraId="2AFCE3B8" w14:textId="7D3F2FF2" w:rsidR="00BC5DC7" w:rsidRPr="004A36E2" w:rsidRDefault="00BC5DC7" w:rsidP="00BC5DC7">
                  <w:pPr>
                    <w:jc w:val="both"/>
                    <w:rPr>
                      <w:sz w:val="16"/>
                      <w:szCs w:val="16"/>
                    </w:rPr>
                  </w:pPr>
                  <w:r w:rsidRPr="004A36E2">
                    <w:rPr>
                      <w:sz w:val="16"/>
                      <w:szCs w:val="16"/>
                    </w:rPr>
                    <w:t>Ratification of appointment of statutory and other auditors for the FY 2024-25 and fixation of remuneration.</w:t>
                  </w:r>
                </w:p>
              </w:tc>
            </w:tr>
            <w:tr w:rsidR="00BC5DC7" w14:paraId="406704B3" w14:textId="77777777" w:rsidTr="00BC5DC7">
              <w:tc>
                <w:tcPr>
                  <w:tcW w:w="874" w:type="dxa"/>
                </w:tcPr>
                <w:p w14:paraId="71C9BA95" w14:textId="4B2C1780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25" w:type="dxa"/>
                </w:tcPr>
                <w:p w14:paraId="6307E19C" w14:textId="72FE8CD8" w:rsidR="00BC5DC7" w:rsidRPr="004A36E2" w:rsidRDefault="00BC5DC7" w:rsidP="00BC5DC7">
                  <w:pPr>
                    <w:jc w:val="both"/>
                    <w:rPr>
                      <w:sz w:val="16"/>
                      <w:szCs w:val="16"/>
                    </w:rPr>
                  </w:pPr>
                  <w:r w:rsidRPr="004A36E2">
                    <w:rPr>
                      <w:sz w:val="16"/>
                      <w:szCs w:val="16"/>
                    </w:rPr>
                    <w:t>Ratification of actions of the Board since the last AGM</w:t>
                  </w:r>
                </w:p>
              </w:tc>
            </w:tr>
            <w:tr w:rsidR="00BC5DC7" w14:paraId="7C58426E" w14:textId="77777777" w:rsidTr="00BC5DC7">
              <w:tc>
                <w:tcPr>
                  <w:tcW w:w="874" w:type="dxa"/>
                </w:tcPr>
                <w:p w14:paraId="38519F18" w14:textId="60F962AE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125" w:type="dxa"/>
                </w:tcPr>
                <w:p w14:paraId="2E513483" w14:textId="10C04F98" w:rsidR="00BC5DC7" w:rsidRPr="004A36E2" w:rsidRDefault="00BC5DC7" w:rsidP="00BC5DC7">
                  <w:pPr>
                    <w:jc w:val="both"/>
                    <w:rPr>
                      <w:sz w:val="16"/>
                      <w:szCs w:val="16"/>
                    </w:rPr>
                  </w:pPr>
                  <w:r w:rsidRPr="004A36E2">
                    <w:rPr>
                      <w:sz w:val="16"/>
                      <w:szCs w:val="16"/>
                    </w:rPr>
                    <w:t>Approval on creation of specific reserves and other funds</w:t>
                  </w:r>
                </w:p>
              </w:tc>
            </w:tr>
            <w:tr w:rsidR="00BC5DC7" w14:paraId="1DF1CE67" w14:textId="77777777" w:rsidTr="00BC5DC7">
              <w:tc>
                <w:tcPr>
                  <w:tcW w:w="874" w:type="dxa"/>
                </w:tcPr>
                <w:p w14:paraId="7756CD17" w14:textId="6088113E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125" w:type="dxa"/>
                </w:tcPr>
                <w:p w14:paraId="5806F4FF" w14:textId="507E7D9A" w:rsidR="00BC5DC7" w:rsidRPr="004A36E2" w:rsidRDefault="00BC5DC7" w:rsidP="00BC5DC7">
                  <w:pPr>
                    <w:jc w:val="both"/>
                    <w:rPr>
                      <w:sz w:val="16"/>
                      <w:szCs w:val="16"/>
                    </w:rPr>
                  </w:pPr>
                  <w:r w:rsidRPr="004A36E2">
                    <w:rPr>
                      <w:sz w:val="16"/>
                      <w:szCs w:val="16"/>
                    </w:rPr>
                    <w:t>Approval on disposal of Net Profit for the year 2023-24 and payment of dividend to members</w:t>
                  </w:r>
                </w:p>
              </w:tc>
            </w:tr>
            <w:tr w:rsidR="00BC5DC7" w14:paraId="44D1BEC2" w14:textId="77777777" w:rsidTr="00BC5DC7">
              <w:tc>
                <w:tcPr>
                  <w:tcW w:w="874" w:type="dxa"/>
                </w:tcPr>
                <w:p w14:paraId="0E1C40BE" w14:textId="3D8FF7B6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125" w:type="dxa"/>
                </w:tcPr>
                <w:p w14:paraId="6CEC6B00" w14:textId="7185CDC7" w:rsidR="00BC5DC7" w:rsidRPr="004A36E2" w:rsidRDefault="00BC5DC7" w:rsidP="00BC5DC7">
                  <w:pPr>
                    <w:jc w:val="both"/>
                    <w:rPr>
                      <w:sz w:val="16"/>
                      <w:szCs w:val="16"/>
                    </w:rPr>
                  </w:pPr>
                  <w:r w:rsidRPr="004A36E2">
                    <w:rPr>
                      <w:sz w:val="16"/>
                      <w:szCs w:val="16"/>
                    </w:rPr>
                    <w:t>Consideration over approval of the annual budget of NCEL for FY 2024-25</w:t>
                  </w:r>
                </w:p>
              </w:tc>
            </w:tr>
            <w:tr w:rsidR="00BC5DC7" w14:paraId="049C7304" w14:textId="77777777" w:rsidTr="00BC5DC7">
              <w:tc>
                <w:tcPr>
                  <w:tcW w:w="874" w:type="dxa"/>
                </w:tcPr>
                <w:p w14:paraId="31B16D26" w14:textId="00F517D4" w:rsidR="00BC5DC7" w:rsidRDefault="00BC5DC7" w:rsidP="00BC5DC7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125" w:type="dxa"/>
                </w:tcPr>
                <w:p w14:paraId="7EB51967" w14:textId="15CB0326" w:rsidR="00BC5DC7" w:rsidRPr="004A36E2" w:rsidRDefault="00BC5DC7" w:rsidP="00BC5DC7">
                  <w:pPr>
                    <w:jc w:val="both"/>
                    <w:rPr>
                      <w:sz w:val="16"/>
                      <w:szCs w:val="16"/>
                    </w:rPr>
                  </w:pPr>
                  <w:r w:rsidRPr="004A36E2">
                    <w:rPr>
                      <w:sz w:val="16"/>
                      <w:szCs w:val="16"/>
                    </w:rPr>
                    <w:t>Any other item with the permission of the Chair</w:t>
                  </w:r>
                </w:p>
              </w:tc>
            </w:tr>
          </w:tbl>
          <w:p w14:paraId="719464A1" w14:textId="1787386B" w:rsidR="00AB1DD2" w:rsidRPr="00AB1DD2" w:rsidRDefault="00AB1DD2" w:rsidP="005865A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1DD2" w14:paraId="0C331DB4" w14:textId="77777777" w:rsidTr="005865A7">
        <w:tc>
          <w:tcPr>
            <w:tcW w:w="7225" w:type="dxa"/>
          </w:tcPr>
          <w:p w14:paraId="0192BE78" w14:textId="77777777" w:rsidR="00BC5DC7" w:rsidRDefault="00BC5DC7" w:rsidP="00BC5DC7">
            <w:pPr>
              <w:ind w:firstLine="29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5DC7">
              <w:rPr>
                <w:rFonts w:ascii="Calibri" w:hAnsi="Calibri" w:cs="Calibri"/>
                <w:sz w:val="18"/>
                <w:szCs w:val="18"/>
              </w:rPr>
              <w:t>You are requested to kindly make it convenient to attend the meeting.</w:t>
            </w:r>
            <w:r w:rsidRPr="00BC5DC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D467F41" w14:textId="77777777" w:rsidR="00BB0271" w:rsidRPr="00BB0271" w:rsidRDefault="00BB0271" w:rsidP="00BB0271">
            <w:pPr>
              <w:ind w:left="4320" w:firstLine="7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0271">
              <w:rPr>
                <w:rFonts w:ascii="Calibri" w:hAnsi="Calibri" w:cs="Calibri"/>
                <w:sz w:val="18"/>
                <w:szCs w:val="18"/>
              </w:rPr>
              <w:t>Yours sincerely,</w:t>
            </w:r>
          </w:p>
          <w:p w14:paraId="448CCF5C" w14:textId="77777777" w:rsidR="00BB0271" w:rsidRDefault="00BB0271" w:rsidP="00BB027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8FBCD44" w14:textId="77777777" w:rsidR="00BB0271" w:rsidRPr="00BB0271" w:rsidRDefault="00BB0271" w:rsidP="00BB0271">
            <w:pPr>
              <w:ind w:left="4320" w:firstLine="7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>Unupom</w:t>
            </w:r>
            <w:proofErr w:type="spellEnd"/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Kausik)</w:t>
            </w:r>
          </w:p>
          <w:p w14:paraId="1EFEA988" w14:textId="77777777" w:rsidR="00BB0271" w:rsidRPr="00BB0271" w:rsidRDefault="00BB0271" w:rsidP="00BB0271">
            <w:pPr>
              <w:ind w:left="4320" w:firstLine="7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>Managing Director</w:t>
            </w:r>
          </w:p>
          <w:p w14:paraId="0C07624D" w14:textId="441D7609" w:rsidR="00BC5DC7" w:rsidRPr="00BB0271" w:rsidRDefault="00BB0271" w:rsidP="00BB0271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0271">
              <w:rPr>
                <w:rFonts w:ascii="Calibri" w:hAnsi="Calibri" w:cs="Calibri"/>
                <w:b/>
                <w:bCs/>
                <w:sz w:val="18"/>
                <w:szCs w:val="18"/>
              </w:rPr>
              <w:t>National Co-operative Exports Limited</w:t>
            </w:r>
          </w:p>
          <w:p w14:paraId="33DEFA3F" w14:textId="77777777" w:rsidR="00AB1DD2" w:rsidRPr="00AB1DD2" w:rsidRDefault="00AB1DD2" w:rsidP="005865A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0C9C77" w14:textId="29771647" w:rsidR="00697379" w:rsidRDefault="00697379" w:rsidP="005865A7">
      <w:pPr>
        <w:rPr>
          <w:rFonts w:ascii="Arial Black" w:hAnsi="Arial Black"/>
        </w:rPr>
      </w:pPr>
    </w:p>
    <w:p w14:paraId="589E6A8C" w14:textId="77777777" w:rsidR="00697379" w:rsidRDefault="00697379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tbl>
      <w:tblPr>
        <w:tblStyle w:val="TableGrid"/>
        <w:tblpPr w:leftFromText="180" w:rightFromText="180" w:vertAnchor="text" w:horzAnchor="margin" w:tblpY="-309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56248E" w14:paraId="6D69B08D" w14:textId="77777777" w:rsidTr="000900AE">
        <w:trPr>
          <w:trHeight w:val="1074"/>
        </w:trPr>
        <w:tc>
          <w:tcPr>
            <w:tcW w:w="9016" w:type="dxa"/>
            <w:gridSpan w:val="2"/>
          </w:tcPr>
          <w:p w14:paraId="7B20ECE7" w14:textId="3A2A0545" w:rsidR="0056248E" w:rsidRDefault="0056248E" w:rsidP="0056248E">
            <w:pPr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</w:pPr>
            <w:r w:rsidRPr="00A92C1D">
              <w:rPr>
                <w:rFonts w:cstheme="minorHAnsi"/>
                <w:b/>
                <w:bCs/>
                <w:noProof/>
                <w:color w:val="002060"/>
                <w:sz w:val="28"/>
                <w:szCs w:val="28"/>
                <w:lang w:eastAsia="en-IN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58C141A" wp14:editId="65EBB9D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0</wp:posOffset>
                  </wp:positionV>
                  <wp:extent cx="806450" cy="708025"/>
                  <wp:effectExtent l="0" t="0" r="0" b="0"/>
                  <wp:wrapSquare wrapText="bothSides"/>
                  <wp:docPr id="1592216918" name="Picture 1592216918" descr="A logo with a peacock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with a peacock in the middle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0" t="7833" r="8188" b="11294"/>
                          <a:stretch/>
                        </pic:blipFill>
                        <pic:spPr bwMode="auto">
                          <a:xfrm>
                            <a:off x="0" y="0"/>
                            <a:ext cx="806450" cy="70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theme="minorHAnsi"/>
                <w:b/>
                <w:bCs/>
                <w:color w:val="002060"/>
                <w:sz w:val="28"/>
                <w:szCs w:val="28"/>
              </w:rPr>
              <w:t xml:space="preserve">     </w:t>
            </w:r>
            <w:r w:rsidRPr="00A92C1D">
              <w:rPr>
                <w:rFonts w:ascii="Cambria" w:hAnsi="Cambria" w:cstheme="minorHAnsi"/>
                <w:b/>
                <w:bCs/>
                <w:color w:val="002060"/>
                <w:sz w:val="28"/>
                <w:szCs w:val="28"/>
              </w:rPr>
              <w:t>National Co-operative Exports Ltd. (NCEL)</w:t>
            </w:r>
            <w:r w:rsidRPr="006D0884"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  <w:t xml:space="preserve"> </w:t>
            </w:r>
          </w:p>
          <w:p w14:paraId="1B183253" w14:textId="47A21F0B" w:rsidR="0056248E" w:rsidRDefault="0056248E" w:rsidP="0056248E">
            <w:pPr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  <w:lang w:bidi="gu-IN"/>
              </w:rPr>
              <w:t xml:space="preserve">        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  <w:lang w:bidi="gu-IN"/>
              </w:rPr>
              <w:t>(Registered under MSCS Act, 2002; Reg. No.</w:t>
            </w:r>
            <w:r w:rsidRPr="006D0884"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  <w:t xml:space="preserve">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  <w:lang w:bidi="gu-IN"/>
              </w:rPr>
              <w:t>MSCS/CR/1395/2023)</w:t>
            </w:r>
            <w:r>
              <w:rPr>
                <w:rFonts w:ascii="Cambria" w:hAnsi="Cambria" w:cstheme="minorHAnsi"/>
                <w:b/>
                <w:bCs/>
                <w:color w:val="002060"/>
                <w:sz w:val="21"/>
                <w:szCs w:val="21"/>
                <w:lang w:bidi="gu-IN"/>
              </w:rPr>
              <w:t xml:space="preserve">        </w:t>
            </w:r>
          </w:p>
          <w:p w14:paraId="4B253D22" w14:textId="524BF366" w:rsidR="0056248E" w:rsidRDefault="0056248E" w:rsidP="0056248E">
            <w:pP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         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World Trade Centre, Tower I, 8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  <w:vertAlign w:val="superscript"/>
              </w:rPr>
              <w:t>th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 Floor, </w:t>
            </w:r>
            <w:proofErr w:type="spellStart"/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Nauroji</w:t>
            </w:r>
            <w:proofErr w:type="spellEnd"/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 Nagar, New</w:t>
            </w:r>
            <w:r w:rsidRPr="00F257CD">
              <w:rPr>
                <w:rFonts w:ascii="Cambria" w:hAnsi="Cambria" w:cstheme="minorHAnsi"/>
                <w:b/>
                <w:bCs/>
                <w:color w:val="002060"/>
                <w:szCs w:val="20"/>
              </w:rPr>
              <w:t xml:space="preserve">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Delhi-110029</w:t>
            </w:r>
          </w:p>
          <w:p w14:paraId="6B0301D1" w14:textId="46C56253" w:rsidR="0056248E" w:rsidRPr="002C0286" w:rsidRDefault="0056248E" w:rsidP="0056248E">
            <w:pPr>
              <w:rPr>
                <w:rFonts w:ascii="Mangal" w:hAnsi="Mangal" w:cs="Mangal"/>
                <w:lang w:val="en-US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         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 xml:space="preserve">Phone: </w:t>
            </w:r>
            <w:r w:rsidRPr="005865A7"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  <w:t xml:space="preserve">011 28524336, E-mail: </w:t>
            </w:r>
            <w:hyperlink r:id="rId9" w:history="1">
              <w:r w:rsidRPr="005865A7">
                <w:rPr>
                  <w:rStyle w:val="Hyperlink"/>
                  <w:rFonts w:ascii="Cambria" w:hAnsi="Cambria" w:cstheme="minorHAnsi"/>
                  <w:b/>
                  <w:bCs/>
                  <w:sz w:val="18"/>
                  <w:szCs w:val="18"/>
                </w:rPr>
                <w:t>md@ncel.coop</w:t>
              </w:r>
            </w:hyperlink>
          </w:p>
        </w:tc>
      </w:tr>
      <w:tr w:rsidR="0056248E" w14:paraId="41F90686" w14:textId="77777777" w:rsidTr="0056248E">
        <w:tc>
          <w:tcPr>
            <w:tcW w:w="9016" w:type="dxa"/>
            <w:gridSpan w:val="2"/>
          </w:tcPr>
          <w:p w14:paraId="0AA6F45B" w14:textId="4CCF37DE" w:rsidR="0056248E" w:rsidRPr="00050508" w:rsidRDefault="0056248E" w:rsidP="00050508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नेशनल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को-ऑपरेटिव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एक्सपोर्ट्स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लिमिटेड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(NCEL)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तीसरी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वार्षिक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सामान्य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बैठक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(AGM),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जो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28.09.2024,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शनिवार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को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हाइब्रिड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मोड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माध्यम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से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आयोजित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050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0508">
              <w:rPr>
                <w:rFonts w:ascii="Mangal" w:hAnsi="Mangal" w:cs="Mangal" w:hint="cs"/>
                <w:b/>
                <w:bCs/>
                <w:sz w:val="20"/>
                <w:szCs w:val="20"/>
                <w:lang w:val="en-US"/>
              </w:rPr>
              <w:t>होने</w:t>
            </w:r>
            <w:proofErr w:type="spellEnd"/>
            <w:proofErr w:type="gram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 w:hint="cs"/>
                <w:b/>
                <w:bCs/>
                <w:sz w:val="20"/>
                <w:szCs w:val="20"/>
                <w:lang w:val="en-US"/>
              </w:rPr>
              <w:t>वाली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 w:hint="cs"/>
                <w:b/>
                <w:bCs/>
                <w:sz w:val="20"/>
                <w:szCs w:val="20"/>
                <w:lang w:val="en-US"/>
              </w:rPr>
              <w:t>है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का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नोटिस</w:t>
            </w:r>
            <w:proofErr w:type="spellEnd"/>
          </w:p>
        </w:tc>
      </w:tr>
      <w:tr w:rsidR="0056248E" w14:paraId="37F91557" w14:textId="77777777" w:rsidTr="0056248E">
        <w:tc>
          <w:tcPr>
            <w:tcW w:w="9016" w:type="dxa"/>
            <w:gridSpan w:val="2"/>
          </w:tcPr>
          <w:p w14:paraId="788195F1" w14:textId="216824DE" w:rsidR="0056248E" w:rsidRPr="00050508" w:rsidRDefault="0056248E" w:rsidP="00050508">
            <w:pPr>
              <w:jc w:val="both"/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>फ़ाइल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>संख्या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 xml:space="preserve">: 19-NCEL/ AGM/ NOTICE/ 2024-25         </w:t>
            </w:r>
            <w:r w:rsid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 xml:space="preserve">                       </w:t>
            </w:r>
            <w:r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>दिनांक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>: 13.09.2024</w:t>
            </w:r>
          </w:p>
          <w:p w14:paraId="5DCD9161" w14:textId="77777777" w:rsidR="00050508" w:rsidRDefault="00050508" w:rsidP="00050508">
            <w:pPr>
              <w:jc w:val="both"/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</w:pPr>
          </w:p>
          <w:p w14:paraId="1E6248B9" w14:textId="7666B8D4" w:rsidR="0056248E" w:rsidRPr="00050508" w:rsidRDefault="00663162" w:rsidP="00050508">
            <w:pPr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 w:hint="cs"/>
                <w:b/>
                <w:bCs/>
                <w:sz w:val="18"/>
                <w:szCs w:val="18"/>
                <w:lang w:val="en-US"/>
              </w:rPr>
              <w:t>प्रेषित</w:t>
            </w:r>
            <w:proofErr w:type="spellEnd"/>
            <w:r w:rsidR="0056248E" w:rsidRPr="00050508">
              <w:rPr>
                <w:rFonts w:ascii="Mangal" w:hAnsi="Mangal" w:cs="Mangal"/>
                <w:b/>
                <w:bCs/>
                <w:sz w:val="18"/>
                <w:szCs w:val="18"/>
                <w:lang w:val="en-US"/>
              </w:rPr>
              <w:t>:</w:t>
            </w:r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सदस्य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नेशनल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को-ऑपरेटिव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एक्सपोर्ट्स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लिमिटेड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(NCEL)</w:t>
            </w:r>
          </w:p>
          <w:p w14:paraId="1EBA9159" w14:textId="77777777" w:rsidR="00050508" w:rsidRDefault="00050508" w:rsidP="00050508">
            <w:pPr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</w:p>
          <w:p w14:paraId="3B8C9296" w14:textId="4653FA6A" w:rsidR="0056248E" w:rsidRPr="00050508" w:rsidRDefault="0056248E" w:rsidP="00050508">
            <w:pPr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आदरणीय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महोदय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,</w:t>
            </w:r>
          </w:p>
          <w:p w14:paraId="1AE052DF" w14:textId="324F1386" w:rsidR="0056248E" w:rsidRDefault="0056248E" w:rsidP="00050508">
            <w:pPr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br/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नेशनल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को-ऑपरेटिव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एक्सपोर्ट्स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लिमिटेड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(NCEL)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तीसरी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वार्षिक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सामान्य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बैठक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(AGM)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आयोजन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सितंबर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2024,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शनिवार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दोपहर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2:30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बजे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किया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जाएगा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।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यह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बैठक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हाइब्रिड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मोड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आयोजित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जाएगी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अर्थात्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ऑनलाइन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और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व्यक्तिगत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रूप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।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जो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सदस्य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व्यक्तिगत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रूप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AGM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उपस्थित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होना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चाहते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हैं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कृपया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17.09.2024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तक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हमें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ईमेल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माध्यम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अपनी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भागीदारी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पुष्टि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करें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ताकि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आवश्यक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व्यवस्थाएँ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जा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सकें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।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कृपया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सूचित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रहे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AGM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भाग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लेने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NCEL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द्वारा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कोई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यात्रा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भत्ता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(TA)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या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दैनिक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भत्ता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(DA)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प्रदान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नहीं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किया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जाएगा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  <w:p w14:paraId="1A41DB31" w14:textId="77777777" w:rsidR="00050508" w:rsidRPr="00050508" w:rsidRDefault="00050508" w:rsidP="00050508">
            <w:pPr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</w:p>
          <w:p w14:paraId="2AD7E857" w14:textId="13CD4EC8" w:rsidR="0056248E" w:rsidRDefault="0056248E" w:rsidP="00050508">
            <w:pPr>
              <w:jc w:val="both"/>
              <w:rPr>
                <w:rFonts w:ascii="Mangal" w:hAnsi="Mangal" w:cs="Mangal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AGM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ऑनलाइन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भागीदारी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लिंक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सदस्यों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ईमेल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माध्यम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एजेंडा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नोट्स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663162" w:rsidRPr="00050508">
              <w:rPr>
                <w:rFonts w:ascii="Mangal" w:hAnsi="Mangal" w:cs="Mangal"/>
                <w:sz w:val="18"/>
                <w:szCs w:val="18"/>
              </w:rPr>
              <w:t>कार्यसूची</w:t>
            </w:r>
            <w:proofErr w:type="spellEnd"/>
            <w:r w:rsidR="00663162" w:rsidRPr="00050508">
              <w:rPr>
                <w:rFonts w:ascii="Mangal" w:hAnsi="Mangal" w:cs="Mangal"/>
                <w:sz w:val="18"/>
                <w:szCs w:val="18"/>
              </w:rPr>
              <w:t xml:space="preserve"> </w:t>
            </w:r>
            <w:proofErr w:type="spellStart"/>
            <w:r w:rsidR="00663162" w:rsidRPr="00050508">
              <w:rPr>
                <w:rFonts w:ascii="Mangal" w:hAnsi="Mangal" w:cs="Mangal"/>
                <w:sz w:val="18"/>
                <w:szCs w:val="18"/>
              </w:rPr>
              <w:t>की</w:t>
            </w:r>
            <w:proofErr w:type="spellEnd"/>
            <w:r w:rsidR="00663162" w:rsidRPr="00050508">
              <w:rPr>
                <w:rFonts w:ascii="Mangal" w:hAnsi="Mangal" w:cs="Mangal"/>
                <w:sz w:val="18"/>
                <w:szCs w:val="18"/>
              </w:rPr>
              <w:t xml:space="preserve"> </w:t>
            </w:r>
            <w:proofErr w:type="spellStart"/>
            <w:r w:rsidR="00663162" w:rsidRPr="00050508">
              <w:rPr>
                <w:rFonts w:ascii="Mangal" w:hAnsi="Mangal" w:cs="Mangal"/>
                <w:sz w:val="18"/>
                <w:szCs w:val="18"/>
              </w:rPr>
              <w:t>टिप्पणी</w:t>
            </w:r>
            <w:proofErr w:type="spellEnd"/>
            <w:r w:rsidR="00663162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साथ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साझा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किया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जा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रहा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है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। AGM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एजेंडा</w:t>
            </w:r>
            <w:proofErr w:type="spellEnd"/>
            <w:r w:rsid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r w:rsidR="00663162" w:rsidRPr="00050508">
              <w:rPr>
                <w:rFonts w:ascii="Mangal" w:hAnsi="Mangal" w:cs="Mangal"/>
                <w:sz w:val="18"/>
                <w:szCs w:val="18"/>
              </w:rPr>
              <w:t>(</w:t>
            </w:r>
            <w:proofErr w:type="spellStart"/>
            <w:r w:rsidR="00663162" w:rsidRPr="00050508">
              <w:rPr>
                <w:rFonts w:ascii="Mangal" w:hAnsi="Mangal" w:cs="Mangal"/>
                <w:sz w:val="18"/>
                <w:szCs w:val="18"/>
              </w:rPr>
              <w:t>कार्यसूची</w:t>
            </w:r>
            <w:proofErr w:type="spellEnd"/>
            <w:r w:rsidR="00663162" w:rsidRPr="00050508">
              <w:rPr>
                <w:rFonts w:ascii="Mangal" w:hAnsi="Mangal" w:cs="Mangal"/>
                <w:sz w:val="18"/>
                <w:szCs w:val="18"/>
              </w:rPr>
              <w:t>)</w:t>
            </w:r>
            <w:r w:rsidR="00663162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इस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प्रकार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है</w:t>
            </w:r>
            <w:proofErr w:type="spellEnd"/>
            <w:r w:rsidR="00050508">
              <w:rPr>
                <w:rFonts w:ascii="Mangal" w:hAnsi="Mangal" w:cs="Mangal"/>
                <w:sz w:val="18"/>
                <w:szCs w:val="18"/>
                <w:lang w:val="en-US"/>
              </w:rPr>
              <w:t>: -</w:t>
            </w:r>
          </w:p>
        </w:tc>
      </w:tr>
      <w:tr w:rsidR="0056248E" w14:paraId="7201B902" w14:textId="77777777" w:rsidTr="0056248E">
        <w:tc>
          <w:tcPr>
            <w:tcW w:w="1129" w:type="dxa"/>
          </w:tcPr>
          <w:p w14:paraId="69B48C3C" w14:textId="77777777" w:rsidR="0056248E" w:rsidRPr="00050508" w:rsidRDefault="0056248E" w:rsidP="0056248E">
            <w:pPr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क्र.सं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7887" w:type="dxa"/>
          </w:tcPr>
          <w:p w14:paraId="4E74CDA3" w14:textId="098133D6" w:rsidR="0056248E" w:rsidRPr="00050508" w:rsidRDefault="0056248E" w:rsidP="0056248E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एजेंडा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आइटम</w:t>
            </w:r>
            <w:proofErr w:type="spellEnd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(</w:t>
            </w:r>
            <w:r w:rsidR="00663162" w:rsidRPr="00050508">
              <w:rPr>
                <w:rFonts w:ascii="Mangal" w:hAnsi="Mangal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63162" w:rsidRPr="00050508">
              <w:rPr>
                <w:rFonts w:ascii="Mangal" w:hAnsi="Mangal" w:cs="Mangal"/>
                <w:b/>
                <w:bCs/>
                <w:sz w:val="20"/>
                <w:szCs w:val="20"/>
              </w:rPr>
              <w:t>कार्यसूची</w:t>
            </w:r>
            <w:proofErr w:type="spellEnd"/>
            <w:proofErr w:type="gramEnd"/>
            <w:r w:rsidR="00663162"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0508">
              <w:rPr>
                <w:rFonts w:ascii="Mangal" w:hAnsi="Mangal" w:cs="Mang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6248E" w14:paraId="77B19B17" w14:textId="77777777" w:rsidTr="0056248E">
        <w:tc>
          <w:tcPr>
            <w:tcW w:w="1129" w:type="dxa"/>
          </w:tcPr>
          <w:p w14:paraId="51B8A771" w14:textId="77777777" w:rsidR="0056248E" w:rsidRPr="00050508" w:rsidRDefault="0056248E" w:rsidP="0056248E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1</w:t>
            </w:r>
          </w:p>
        </w:tc>
        <w:tc>
          <w:tcPr>
            <w:tcW w:w="7887" w:type="dxa"/>
          </w:tcPr>
          <w:p w14:paraId="33FC78C3" w14:textId="07008B0F" w:rsidR="0056248E" w:rsidRPr="00050508" w:rsidRDefault="0056248E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NCEL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दूसरी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वार्षिक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सामान्य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बैठक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जो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28.09.2023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आयोजित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गई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थी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मिनट्स</w:t>
            </w:r>
            <w:proofErr w:type="spellEnd"/>
            <w:proofErr w:type="gram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r w:rsid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 </w:t>
            </w: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(</w:t>
            </w:r>
            <w:proofErr w:type="spellStart"/>
            <w:proofErr w:type="gramEnd"/>
            <w:r w:rsidR="00663162"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कार्यवृत्त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पुष्टि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56248E" w14:paraId="4AAD5FA7" w14:textId="77777777" w:rsidTr="0056248E">
        <w:tc>
          <w:tcPr>
            <w:tcW w:w="1129" w:type="dxa"/>
          </w:tcPr>
          <w:p w14:paraId="1FF1FC63" w14:textId="3AE37C44" w:rsidR="0056248E" w:rsidRPr="00050508" w:rsidRDefault="0056248E" w:rsidP="00050508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2</w:t>
            </w:r>
          </w:p>
        </w:tc>
        <w:tc>
          <w:tcPr>
            <w:tcW w:w="7887" w:type="dxa"/>
          </w:tcPr>
          <w:p w14:paraId="216C16A4" w14:textId="77777777" w:rsidR="0056248E" w:rsidRPr="00050508" w:rsidRDefault="0056248E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वित्तीय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वर्ष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2023-24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लेखा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परीक्षक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रिपोर्ट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और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लेखापरीक्षित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वित्तीय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विवरणों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विचार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56248E" w14:paraId="4EDFBCDB" w14:textId="77777777" w:rsidTr="0056248E">
        <w:tc>
          <w:tcPr>
            <w:tcW w:w="1129" w:type="dxa"/>
          </w:tcPr>
          <w:p w14:paraId="783B6DD8" w14:textId="77777777" w:rsidR="0056248E" w:rsidRPr="00050508" w:rsidRDefault="0056248E" w:rsidP="0056248E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3</w:t>
            </w:r>
          </w:p>
        </w:tc>
        <w:tc>
          <w:tcPr>
            <w:tcW w:w="7887" w:type="dxa"/>
          </w:tcPr>
          <w:p w14:paraId="1AF1F20E" w14:textId="77777777" w:rsidR="0056248E" w:rsidRPr="00050508" w:rsidRDefault="0056248E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वित्तीय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वर्ष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2024-25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सांविधिक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और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अन्य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लेखा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परीक्षकों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नियुक्ति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पुष्टि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और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पारिश्रमिक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निर्धारण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56248E" w14:paraId="74E69D84" w14:textId="77777777" w:rsidTr="0056248E">
        <w:tc>
          <w:tcPr>
            <w:tcW w:w="1129" w:type="dxa"/>
          </w:tcPr>
          <w:p w14:paraId="785CF91E" w14:textId="77777777" w:rsidR="0056248E" w:rsidRPr="00050508" w:rsidRDefault="0056248E" w:rsidP="0056248E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4</w:t>
            </w:r>
          </w:p>
        </w:tc>
        <w:tc>
          <w:tcPr>
            <w:tcW w:w="7887" w:type="dxa"/>
          </w:tcPr>
          <w:p w14:paraId="21CDF2C1" w14:textId="77777777" w:rsidR="0056248E" w:rsidRPr="00050508" w:rsidRDefault="0056248E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पिछली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AGM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बाद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बोर्ड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द्वारा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गए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कार्यों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पुष्टि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56248E" w14:paraId="22EC397D" w14:textId="77777777" w:rsidTr="0056248E">
        <w:tc>
          <w:tcPr>
            <w:tcW w:w="1129" w:type="dxa"/>
          </w:tcPr>
          <w:p w14:paraId="4E35D520" w14:textId="77777777" w:rsidR="0056248E" w:rsidRPr="00050508" w:rsidRDefault="0056248E" w:rsidP="0056248E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5</w:t>
            </w:r>
          </w:p>
        </w:tc>
        <w:tc>
          <w:tcPr>
            <w:tcW w:w="7887" w:type="dxa"/>
          </w:tcPr>
          <w:p w14:paraId="023E165A" w14:textId="442310EC" w:rsidR="0056248E" w:rsidRPr="00050508" w:rsidRDefault="00663162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विशिष्ट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कोषों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और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अन्य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कोषों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</w:rPr>
              <w:t>गठन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पर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स्वीकृति</w:t>
            </w:r>
            <w:proofErr w:type="spellEnd"/>
            <w:r w:rsidR="0056248E"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56248E" w14:paraId="1C964960" w14:textId="77777777" w:rsidTr="0056248E">
        <w:tc>
          <w:tcPr>
            <w:tcW w:w="1129" w:type="dxa"/>
          </w:tcPr>
          <w:p w14:paraId="5B662C21" w14:textId="77777777" w:rsidR="0056248E" w:rsidRPr="00050508" w:rsidRDefault="0056248E" w:rsidP="0056248E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6</w:t>
            </w:r>
          </w:p>
        </w:tc>
        <w:tc>
          <w:tcPr>
            <w:tcW w:w="7887" w:type="dxa"/>
          </w:tcPr>
          <w:p w14:paraId="79B7D5E9" w14:textId="77777777" w:rsidR="0056248E" w:rsidRPr="00050508" w:rsidRDefault="0056248E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वित्तीय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वर्ष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2023-24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शुद्ध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लाभ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निपटान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और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सदस्यों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लाभांश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भुगतान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स्वीकृति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56248E" w14:paraId="6FEFBBED" w14:textId="77777777" w:rsidTr="0056248E">
        <w:tc>
          <w:tcPr>
            <w:tcW w:w="1129" w:type="dxa"/>
          </w:tcPr>
          <w:p w14:paraId="4C89B9EC" w14:textId="77777777" w:rsidR="0056248E" w:rsidRPr="00050508" w:rsidRDefault="0056248E" w:rsidP="0056248E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7</w:t>
            </w:r>
          </w:p>
        </w:tc>
        <w:tc>
          <w:tcPr>
            <w:tcW w:w="7887" w:type="dxa"/>
          </w:tcPr>
          <w:p w14:paraId="5AAE689A" w14:textId="77777777" w:rsidR="0056248E" w:rsidRPr="00050508" w:rsidRDefault="0056248E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वित्तीय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वर्ष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2024-25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लिए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NCEL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वार्षिक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बजट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विचार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और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स्वीकृति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56248E" w14:paraId="1AFD8128" w14:textId="77777777" w:rsidTr="0056248E">
        <w:tc>
          <w:tcPr>
            <w:tcW w:w="1129" w:type="dxa"/>
          </w:tcPr>
          <w:p w14:paraId="5B096716" w14:textId="77777777" w:rsidR="0056248E" w:rsidRPr="00050508" w:rsidRDefault="0056248E" w:rsidP="0056248E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8</w:t>
            </w:r>
          </w:p>
        </w:tc>
        <w:tc>
          <w:tcPr>
            <w:tcW w:w="7887" w:type="dxa"/>
          </w:tcPr>
          <w:p w14:paraId="12C497BA" w14:textId="77777777" w:rsidR="0056248E" w:rsidRPr="00050508" w:rsidRDefault="0056248E" w:rsidP="00050508">
            <w:pPr>
              <w:ind w:left="360"/>
              <w:jc w:val="both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अध्यक्ष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अनुमति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किसी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अन्य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विषय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विचार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</w:tc>
      </w:tr>
      <w:tr w:rsidR="00663162" w14:paraId="35467575" w14:textId="77777777" w:rsidTr="008A220F">
        <w:tc>
          <w:tcPr>
            <w:tcW w:w="9016" w:type="dxa"/>
            <w:gridSpan w:val="2"/>
          </w:tcPr>
          <w:p w14:paraId="010CEF66" w14:textId="77777777" w:rsidR="00663162" w:rsidRPr="00050508" w:rsidRDefault="00663162" w:rsidP="00663162">
            <w:pPr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आपसे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विनम्र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अनुरोध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है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कि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कृपया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बैठक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में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उपस्थित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होना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सुनिश्चित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करें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।</w:t>
            </w:r>
          </w:p>
          <w:p w14:paraId="7945166F" w14:textId="6A7A88C6" w:rsidR="00663162" w:rsidRDefault="00663162" w:rsidP="00663162">
            <w:pPr>
              <w:jc w:val="right"/>
              <w:rPr>
                <w:rFonts w:ascii="Mangal" w:hAnsi="Mangal" w:cs="Mangal"/>
                <w:sz w:val="18"/>
                <w:szCs w:val="18"/>
                <w:lang w:val="en-US"/>
              </w:rPr>
            </w:pP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धन्यवाद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,</w:t>
            </w:r>
          </w:p>
          <w:p w14:paraId="78935F43" w14:textId="77777777" w:rsidR="00050508" w:rsidRPr="00050508" w:rsidRDefault="00050508" w:rsidP="00663162">
            <w:pPr>
              <w:jc w:val="right"/>
              <w:rPr>
                <w:rFonts w:ascii="Mangal" w:hAnsi="Mangal" w:cs="Mangal"/>
                <w:sz w:val="18"/>
                <w:szCs w:val="18"/>
                <w:lang w:val="en-US"/>
              </w:rPr>
            </w:pPr>
          </w:p>
          <w:p w14:paraId="2BAA09CB" w14:textId="08BB1CB4" w:rsidR="00663162" w:rsidRPr="00050508" w:rsidRDefault="00663162" w:rsidP="00F077A1">
            <w:pPr>
              <w:jc w:val="right"/>
              <w:rPr>
                <w:rFonts w:ascii="Mangal" w:hAnsi="Mangal" w:cs="Mangal"/>
                <w:sz w:val="18"/>
                <w:szCs w:val="18"/>
                <w:lang w:val="en-US"/>
              </w:rPr>
            </w:pP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(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अनुपम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कौशिक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)</w:t>
            </w:r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br/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प्रबंध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निदेशक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br/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नेशनल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को-ऑपरेटिव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एक्सपोर्ट्स</w:t>
            </w:r>
            <w:proofErr w:type="spellEnd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0508">
              <w:rPr>
                <w:rFonts w:ascii="Mangal" w:hAnsi="Mangal" w:cs="Mangal"/>
                <w:sz w:val="18"/>
                <w:szCs w:val="18"/>
                <w:lang w:val="en-US"/>
              </w:rPr>
              <w:t>लिमिटेड</w:t>
            </w:r>
            <w:proofErr w:type="spellEnd"/>
          </w:p>
        </w:tc>
      </w:tr>
    </w:tbl>
    <w:p w14:paraId="251CBB4A" w14:textId="38C15898" w:rsidR="00697379" w:rsidRPr="002C0286" w:rsidRDefault="00697379" w:rsidP="00697379">
      <w:pPr>
        <w:rPr>
          <w:rFonts w:ascii="Mangal" w:hAnsi="Mangal" w:cs="Mangal"/>
          <w:lang w:val="en-US"/>
        </w:rPr>
      </w:pPr>
    </w:p>
    <w:p w14:paraId="64B44BC6" w14:textId="77777777" w:rsidR="002C0286" w:rsidRDefault="002C0286" w:rsidP="00697379">
      <w:pPr>
        <w:rPr>
          <w:rFonts w:ascii="Mangal" w:hAnsi="Mangal" w:cs="Mangal"/>
          <w:lang w:val="en-US"/>
        </w:rPr>
      </w:pPr>
    </w:p>
    <w:p w14:paraId="121C704E" w14:textId="73A6F5A7" w:rsidR="00697379" w:rsidRPr="002C0286" w:rsidRDefault="00697379" w:rsidP="002C0286">
      <w:pPr>
        <w:ind w:left="360"/>
        <w:rPr>
          <w:rFonts w:ascii="Mangal" w:hAnsi="Mangal" w:cs="Mangal"/>
          <w:lang w:val="en-US"/>
        </w:rPr>
      </w:pPr>
    </w:p>
    <w:p w14:paraId="17C9881A" w14:textId="77777777" w:rsidR="005865A7" w:rsidRPr="00C36F73" w:rsidRDefault="005865A7" w:rsidP="002C0286">
      <w:pPr>
        <w:rPr>
          <w:rFonts w:ascii="Arial Black" w:hAnsi="Arial Black"/>
        </w:rPr>
      </w:pPr>
    </w:p>
    <w:sectPr w:rsidR="005865A7" w:rsidRPr="00C3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6167" w14:textId="77777777" w:rsidR="00C70374" w:rsidRDefault="00C70374" w:rsidP="0056248E">
      <w:pPr>
        <w:spacing w:after="0" w:line="240" w:lineRule="auto"/>
      </w:pPr>
      <w:r>
        <w:separator/>
      </w:r>
    </w:p>
  </w:endnote>
  <w:endnote w:type="continuationSeparator" w:id="0">
    <w:p w14:paraId="5B201F4E" w14:textId="77777777" w:rsidR="00C70374" w:rsidRDefault="00C70374" w:rsidP="0056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A3CC" w14:textId="77777777" w:rsidR="00C70374" w:rsidRDefault="00C70374" w:rsidP="0056248E">
      <w:pPr>
        <w:spacing w:after="0" w:line="240" w:lineRule="auto"/>
      </w:pPr>
      <w:r>
        <w:separator/>
      </w:r>
    </w:p>
  </w:footnote>
  <w:footnote w:type="continuationSeparator" w:id="0">
    <w:p w14:paraId="6602D52D" w14:textId="77777777" w:rsidR="00C70374" w:rsidRDefault="00C70374" w:rsidP="0056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6F0"/>
    <w:multiLevelType w:val="hybridMultilevel"/>
    <w:tmpl w:val="846208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169"/>
    <w:multiLevelType w:val="multilevel"/>
    <w:tmpl w:val="4DE6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194826">
    <w:abstractNumId w:val="1"/>
  </w:num>
  <w:num w:numId="2" w16cid:durableId="119473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A7"/>
    <w:rsid w:val="00050508"/>
    <w:rsid w:val="000900AE"/>
    <w:rsid w:val="002C0286"/>
    <w:rsid w:val="0056248E"/>
    <w:rsid w:val="005865A7"/>
    <w:rsid w:val="005A14AF"/>
    <w:rsid w:val="00663162"/>
    <w:rsid w:val="0066731B"/>
    <w:rsid w:val="00697379"/>
    <w:rsid w:val="007B2CF3"/>
    <w:rsid w:val="007E1FAF"/>
    <w:rsid w:val="0080037D"/>
    <w:rsid w:val="009A0589"/>
    <w:rsid w:val="009A558C"/>
    <w:rsid w:val="009C7633"/>
    <w:rsid w:val="00A92C1D"/>
    <w:rsid w:val="00AB1DD2"/>
    <w:rsid w:val="00BB0271"/>
    <w:rsid w:val="00BC5DC7"/>
    <w:rsid w:val="00C44C85"/>
    <w:rsid w:val="00C70374"/>
    <w:rsid w:val="00DE1F9D"/>
    <w:rsid w:val="00E66DE1"/>
    <w:rsid w:val="00EC0219"/>
    <w:rsid w:val="00F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EDFA"/>
  <w15:chartTrackingRefBased/>
  <w15:docId w15:val="{457417AF-9A62-475C-AB66-A94A2DD7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A7"/>
  </w:style>
  <w:style w:type="paragraph" w:styleId="Heading1">
    <w:name w:val="heading 1"/>
    <w:basedOn w:val="Normal"/>
    <w:next w:val="Normal"/>
    <w:link w:val="Heading1Char"/>
    <w:uiPriority w:val="9"/>
    <w:qFormat/>
    <w:rsid w:val="00586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5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86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7"/>
  </w:style>
  <w:style w:type="character" w:styleId="Hyperlink">
    <w:name w:val="Hyperlink"/>
    <w:basedOn w:val="DefaultParagraphFont"/>
    <w:uiPriority w:val="99"/>
    <w:unhideWhenUsed/>
    <w:rsid w:val="005865A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8E"/>
  </w:style>
  <w:style w:type="paragraph" w:styleId="NormalWeb">
    <w:name w:val="Normal (Web)"/>
    <w:basedOn w:val="Normal"/>
    <w:uiPriority w:val="99"/>
    <w:semiHidden/>
    <w:unhideWhenUsed/>
    <w:rsid w:val="006631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2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@ncel.co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@ncel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Zone</dc:creator>
  <cp:keywords/>
  <dc:description/>
  <cp:lastModifiedBy>Delhi Zone</cp:lastModifiedBy>
  <cp:revision>2</cp:revision>
  <dcterms:created xsi:type="dcterms:W3CDTF">2024-09-13T09:56:00Z</dcterms:created>
  <dcterms:modified xsi:type="dcterms:W3CDTF">2024-09-13T09:56:00Z</dcterms:modified>
</cp:coreProperties>
</file>